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2A1" w:rsidRDefault="00A602A1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602A1">
        <w:trPr>
          <w:trHeight w:val="2467"/>
        </w:trPr>
        <w:tc>
          <w:tcPr>
            <w:tcW w:w="5353" w:type="dxa"/>
            <w:shd w:val="clear" w:color="auto" w:fill="auto"/>
          </w:tcPr>
          <w:p w:rsidR="00A602A1" w:rsidRDefault="00A602A1">
            <w:pPr>
              <w:autoSpaceDE w:val="0"/>
              <w:rPr>
                <w:bCs/>
                <w:sz w:val="22"/>
                <w:szCs w:val="22"/>
              </w:rPr>
            </w:pPr>
          </w:p>
          <w:p w:rsidR="00A602A1" w:rsidRDefault="00A602A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602A1" w:rsidRDefault="00857D13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602A1" w:rsidRDefault="00A602A1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602A1" w:rsidRDefault="00857D13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602A1" w:rsidRDefault="00A602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602A1" w:rsidRDefault="00A602A1">
            <w:pPr>
              <w:autoSpaceDE w:val="0"/>
              <w:rPr>
                <w:bCs/>
                <w:sz w:val="22"/>
                <w:szCs w:val="22"/>
              </w:rPr>
            </w:pPr>
          </w:p>
          <w:p w:rsidR="00A602A1" w:rsidRDefault="00A602A1">
            <w:pPr>
              <w:autoSpaceDE w:val="0"/>
              <w:rPr>
                <w:bCs/>
                <w:sz w:val="22"/>
                <w:szCs w:val="22"/>
              </w:rPr>
            </w:pPr>
          </w:p>
          <w:p w:rsidR="00A602A1" w:rsidRDefault="00A602A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602A1" w:rsidRDefault="00A602A1">
      <w:pPr>
        <w:autoSpaceDE w:val="0"/>
        <w:ind w:left="709"/>
        <w:jc w:val="center"/>
        <w:rPr>
          <w:bCs/>
        </w:rPr>
      </w:pPr>
    </w:p>
    <w:p w:rsidR="00A602A1" w:rsidRDefault="00A602A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602A1" w:rsidRDefault="00A602A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602A1" w:rsidRDefault="00A602A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602A1" w:rsidRDefault="00857D1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602A1" w:rsidRDefault="00857D1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АЗГЭ-ВОС/26-1846</w:t>
      </w:r>
    </w:p>
    <w:p w:rsidR="00A602A1" w:rsidRDefault="00857D1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A602A1" w:rsidRDefault="00857D1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:rsidR="00A602A1" w:rsidRDefault="00857D13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</w:p>
    <w:p w:rsidR="00A602A1" w:rsidRDefault="00A602A1">
      <w:pPr>
        <w:autoSpaceDE w:val="0"/>
        <w:rPr>
          <w:b/>
          <w:bCs/>
          <w:sz w:val="28"/>
          <w:szCs w:val="28"/>
        </w:rPr>
      </w:pPr>
    </w:p>
    <w:p w:rsidR="00A602A1" w:rsidRDefault="00A602A1">
      <w:pPr>
        <w:autoSpaceDE w:val="0"/>
        <w:rPr>
          <w:b/>
          <w:bCs/>
          <w:sz w:val="28"/>
          <w:szCs w:val="28"/>
        </w:rPr>
      </w:pPr>
    </w:p>
    <w:p w:rsidR="00A602A1" w:rsidRDefault="00857D1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A602A1" w:rsidRDefault="00857D13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A602A1" w:rsidRDefault="00A602A1">
      <w:pPr>
        <w:autoSpaceDE w:val="0"/>
        <w:rPr>
          <w:b/>
          <w:bCs/>
          <w:sz w:val="28"/>
          <w:szCs w:val="28"/>
        </w:rPr>
      </w:pPr>
    </w:p>
    <w:p w:rsidR="00A602A1" w:rsidRDefault="00A602A1">
      <w:pPr>
        <w:autoSpaceDE w:val="0"/>
        <w:rPr>
          <w:b/>
          <w:bCs/>
          <w:sz w:val="28"/>
          <w:szCs w:val="28"/>
        </w:rPr>
      </w:pPr>
    </w:p>
    <w:p w:rsidR="00A602A1" w:rsidRDefault="00A602A1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602A1">
        <w:tc>
          <w:tcPr>
            <w:tcW w:w="5352" w:type="dxa"/>
          </w:tcPr>
          <w:p w:rsidR="00A602A1" w:rsidRDefault="00857D1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A602A1" w:rsidRDefault="00A602A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602A1" w:rsidRDefault="00857D1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00300060126438</w:t>
            </w:r>
          </w:p>
        </w:tc>
      </w:tr>
      <w:tr w:rsidR="00A602A1">
        <w:tc>
          <w:tcPr>
            <w:tcW w:w="5352" w:type="dxa"/>
          </w:tcPr>
          <w:p w:rsidR="00A602A1" w:rsidRDefault="00857D1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602A1" w:rsidRDefault="00A602A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602A1" w:rsidRDefault="00857D1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A602A1">
        <w:tc>
          <w:tcPr>
            <w:tcW w:w="5352" w:type="dxa"/>
          </w:tcPr>
          <w:p w:rsidR="00A602A1" w:rsidRDefault="00857D1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A602A1" w:rsidRDefault="00A602A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602A1" w:rsidRDefault="00857D1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602A1">
        <w:tc>
          <w:tcPr>
            <w:tcW w:w="5352" w:type="dxa"/>
          </w:tcPr>
          <w:p w:rsidR="00A602A1" w:rsidRDefault="00857D1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602A1" w:rsidRDefault="00857D1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:rsidR="00A602A1">
        <w:tc>
          <w:tcPr>
            <w:tcW w:w="5352" w:type="dxa"/>
          </w:tcPr>
          <w:p w:rsidR="00A602A1" w:rsidRDefault="00A602A1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602A1" w:rsidRDefault="00A602A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602A1" w:rsidRDefault="00A602A1">
      <w:pPr>
        <w:autoSpaceDE w:val="0"/>
        <w:rPr>
          <w:bCs/>
          <w:sz w:val="26"/>
          <w:szCs w:val="26"/>
        </w:rPr>
      </w:pPr>
    </w:p>
    <w:p w:rsidR="00A602A1" w:rsidRDefault="00A602A1">
      <w:pPr>
        <w:autoSpaceDE w:val="0"/>
        <w:rPr>
          <w:bCs/>
          <w:sz w:val="26"/>
          <w:szCs w:val="26"/>
        </w:rPr>
      </w:pPr>
    </w:p>
    <w:p w:rsidR="00A602A1" w:rsidRDefault="00A602A1">
      <w:pPr>
        <w:autoSpaceDE w:val="0"/>
        <w:rPr>
          <w:bCs/>
          <w:sz w:val="26"/>
          <w:szCs w:val="26"/>
        </w:rPr>
      </w:pPr>
    </w:p>
    <w:p w:rsidR="00A602A1" w:rsidRDefault="00A602A1">
      <w:pPr>
        <w:autoSpaceDE w:val="0"/>
        <w:rPr>
          <w:bCs/>
          <w:sz w:val="26"/>
          <w:szCs w:val="26"/>
        </w:rPr>
      </w:pPr>
    </w:p>
    <w:p w:rsidR="00A602A1" w:rsidRDefault="00A602A1">
      <w:pPr>
        <w:autoSpaceDE w:val="0"/>
        <w:rPr>
          <w:bCs/>
          <w:sz w:val="26"/>
          <w:szCs w:val="26"/>
        </w:rPr>
      </w:pPr>
    </w:p>
    <w:p w:rsidR="00A602A1" w:rsidRDefault="00A602A1">
      <w:pPr>
        <w:autoSpaceDE w:val="0"/>
        <w:rPr>
          <w:bCs/>
          <w:sz w:val="26"/>
          <w:szCs w:val="26"/>
        </w:rPr>
      </w:pPr>
    </w:p>
    <w:p w:rsidR="00A602A1" w:rsidRDefault="00A602A1">
      <w:pPr>
        <w:autoSpaceDE w:val="0"/>
        <w:rPr>
          <w:b/>
          <w:sz w:val="28"/>
          <w:szCs w:val="28"/>
        </w:rPr>
      </w:pPr>
    </w:p>
    <w:p w:rsidR="00A602A1" w:rsidRDefault="00A602A1">
      <w:pPr>
        <w:autoSpaceDE w:val="0"/>
        <w:rPr>
          <w:b/>
          <w:sz w:val="28"/>
          <w:szCs w:val="28"/>
        </w:rPr>
      </w:pPr>
    </w:p>
    <w:p w:rsidR="00A602A1" w:rsidRDefault="00857D1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602A1" w:rsidRDefault="00857D13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A602A1" w:rsidRDefault="00857D13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A602A1" w:rsidRDefault="00857D1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A602A1" w:rsidRDefault="00857D1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A602A1" w:rsidRDefault="00857D1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602A1" w:rsidRDefault="00857D13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15.04.2026 № 66-З п. 177;</w:t>
      </w:r>
    </w:p>
    <w:p w:rsidR="00A602A1" w:rsidRDefault="00857D13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602A1" w:rsidRDefault="00857D1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8969604"/>
      <w:bookmarkStart w:id="7" w:name="_Toc426462869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A602A1" w:rsidRDefault="00A602A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A602A1" w:rsidRDefault="00857D13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A602A1" w:rsidRDefault="00A602A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602A1" w:rsidRDefault="00857D1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A602A1" w:rsidRDefault="00857D1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602A1" w:rsidRDefault="00A602A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602A1" w:rsidRDefault="00A602A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>
        <w:rPr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:rsidR="00A602A1" w:rsidRDefault="00A602A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A602A1" w:rsidRDefault="00857D1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A602A1" w:rsidRDefault="00857D1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A602A1" w:rsidRDefault="00A602A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602A1" w:rsidRPr="00857D13" w:rsidRDefault="00857D13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</w:t>
      </w:r>
      <w:r w:rsidRPr="00857D13">
        <w:rPr>
          <w:sz w:val="22"/>
          <w:szCs w:val="22"/>
          <w:lang w:eastAsia="en-US"/>
        </w:rPr>
        <w:t>.</w:t>
      </w:r>
    </w:p>
    <w:p w:rsidR="00A602A1" w:rsidRDefault="00857D1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602A1" w:rsidRDefault="00857D1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A602A1" w:rsidRDefault="00857D1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602A1" w:rsidRDefault="00857D1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602A1" w:rsidRDefault="00857D1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602A1" w:rsidRDefault="00A602A1">
      <w:pPr>
        <w:tabs>
          <w:tab w:val="left" w:pos="142"/>
        </w:tabs>
        <w:autoSpaceDE w:val="0"/>
        <w:rPr>
          <w:sz w:val="22"/>
          <w:szCs w:val="22"/>
        </w:rPr>
      </w:pPr>
    </w:p>
    <w:p w:rsidR="00A602A1" w:rsidRDefault="00857D1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A602A1" w:rsidRDefault="00A602A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602A1" w:rsidRDefault="00857D1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60976"/>
      <w:bookmarkStart w:id="14" w:name="_Toc428969605"/>
      <w:bookmarkStart w:id="15" w:name="_Toc419970524"/>
      <w:bookmarkStart w:id="16" w:name="_Toc419971379"/>
      <w:bookmarkStart w:id="17" w:name="_Toc423615954"/>
      <w:bookmarkStart w:id="18" w:name="_Toc420519204"/>
      <w:bookmarkStart w:id="19" w:name="_Toc419895199"/>
      <w:bookmarkStart w:id="20" w:name="_Toc415224054"/>
      <w:bookmarkStart w:id="21" w:name="_Toc417047217"/>
      <w:bookmarkStart w:id="22" w:name="_Toc419479793"/>
      <w:bookmarkStart w:id="23" w:name="_Toc419803713"/>
      <w:bookmarkStart w:id="24" w:name="_Toc418676399"/>
      <w:bookmarkStart w:id="25" w:name="_Toc426463174"/>
      <w:bookmarkStart w:id="26" w:name="_Toc426462870"/>
      <w:bookmarkStart w:id="27" w:name="_Toc419803376"/>
      <w:bookmarkStart w:id="28" w:name="_Toc420593730"/>
      <w:bookmarkStart w:id="29" w:name="_Toc423619375"/>
      <w:bookmarkStart w:id="30" w:name="_Toc415682150"/>
      <w:bookmarkStart w:id="31" w:name="_Toc419295272"/>
      <w:bookmarkStart w:id="32" w:name="_Toc420512385"/>
      <w:bookmarkStart w:id="33" w:name="_Toc417030418"/>
      <w:bookmarkStart w:id="34" w:name="_Toc417059229"/>
      <w:bookmarkStart w:id="35" w:name="_Toc423619097"/>
      <w:bookmarkStart w:id="36" w:name="_Toc420088341"/>
      <w:bookmarkStart w:id="37" w:name="_Toc420088757"/>
      <w:bookmarkStart w:id="38" w:name="_Toc420330910"/>
      <w:bookmarkStart w:id="39" w:name="_Toc420055143"/>
      <w:bookmarkStart w:id="40" w:name="_Toc419480293"/>
      <w:bookmarkStart w:id="41" w:name="_Toc418676431"/>
      <w:bookmarkStart w:id="42" w:name="_Toc419726793"/>
      <w:bookmarkStart w:id="43" w:name="_Toc420088840"/>
      <w:bookmarkStart w:id="44" w:name="_Toc416972837"/>
      <w:bookmarkStart w:id="45" w:name="_Toc420331610"/>
      <w:bookmarkStart w:id="46" w:name="_Toc418676477"/>
      <w:bookmarkStart w:id="47" w:name="_Toc41997168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A602A1" w:rsidRDefault="00857D13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Новочеркасское. </w:t>
      </w:r>
    </w:p>
    <w:p w:rsidR="00A602A1" w:rsidRDefault="00A602A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3 000,00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50:29:0040705:908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 w:rsidRPr="00857D13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A602A1" w:rsidRDefault="00857D1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A602A1" w:rsidRDefault="00A602A1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602A1" w:rsidRDefault="00857D1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</w:pPr>
    </w:p>
    <w:p w:rsidR="00A602A1" w:rsidRPr="00857D13" w:rsidRDefault="00857D13">
      <w:pPr>
        <w:tabs>
          <w:tab w:val="left" w:pos="851"/>
        </w:tabs>
        <w:autoSpaceDE w:val="0"/>
        <w:spacing w:line="276" w:lineRule="auto"/>
        <w:jc w:val="both"/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857D13">
        <w:rPr>
          <w:color w:val="0000FF"/>
          <w:sz w:val="22"/>
          <w:szCs w:val="22"/>
          <w:lang w:eastAsia="ru-RU"/>
        </w:rPr>
        <w:t>.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lastRenderedPageBreak/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8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602A1" w:rsidRDefault="00A602A1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A602A1" w:rsidRDefault="00857D13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A602A1" w:rsidRDefault="00857D13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A602A1" w:rsidRDefault="00857D1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:rsidR="00A602A1" w:rsidRDefault="00A602A1">
      <w:pPr>
        <w:suppressAutoHyphens w:val="0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244 734,00 руб. (Двести сорок четыре тысячи семьсот тридцать четыре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12 236,70 руб. (Двенадцать тысяч двести тридцать шесть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602A1" w:rsidRDefault="00A602A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602A1" w:rsidRDefault="00857D1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244 734,00 руб. (Двести сорок четыре тысячи семьсот тридцать четыре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602A1" w:rsidRDefault="00A602A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9"/>
      <w:bookmarkStart w:id="51" w:name="OLE_LINK7"/>
    </w:p>
    <w:p w:rsidR="00A602A1" w:rsidRDefault="00857D1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2"/>
      <w:r>
        <w:rPr>
          <w:sz w:val="22"/>
          <w:szCs w:val="22"/>
        </w:rPr>
        <w:t>.</w:t>
      </w:r>
    </w:p>
    <w:p w:rsidR="00A602A1" w:rsidRDefault="00A602A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602A1" w:rsidRDefault="00A602A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602A1" w:rsidRDefault="00857D1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:rsidR="00A602A1" w:rsidRDefault="00857D1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A602A1" w:rsidRDefault="00A602A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27.07.2026 18:00</w:t>
      </w:r>
      <w:r>
        <w:rPr>
          <w:b/>
          <w:sz w:val="22"/>
          <w:szCs w:val="22"/>
        </w:rPr>
        <w:t>.</w:t>
      </w:r>
    </w:p>
    <w:p w:rsidR="00A602A1" w:rsidRDefault="00A602A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28.07.2026</w:t>
      </w:r>
      <w:r>
        <w:rPr>
          <w:color w:val="0000FF"/>
          <w:sz w:val="22"/>
          <w:szCs w:val="22"/>
        </w:rPr>
        <w:t>.</w:t>
      </w:r>
    </w:p>
    <w:p w:rsidR="00A602A1" w:rsidRDefault="00A602A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602A1" w:rsidRDefault="00A602A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29.07.2026 12:00.</w:t>
      </w:r>
    </w:p>
    <w:p w:rsidR="00A602A1" w:rsidRDefault="00A602A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A602A1" w:rsidRDefault="00A602A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A602A1" w:rsidRDefault="00A602A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26462872"/>
      <w:bookmarkStart w:id="54" w:name="_Toc428969607"/>
      <w:bookmarkStart w:id="55" w:name="_Toc423619378"/>
      <w:bookmarkStart w:id="56" w:name="_Toc479691585"/>
      <w:bookmarkStart w:id="57" w:name="_Toc419295274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602A1" w:rsidRDefault="00857D13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3619379"/>
      <w:bookmarkStart w:id="60" w:name="_Toc428969608"/>
      <w:bookmarkStart w:id="61" w:name="_Toc426462873"/>
      <w:r>
        <w:rPr>
          <w:b/>
          <w:sz w:val="22"/>
          <w:szCs w:val="22"/>
        </w:rPr>
        <w:t xml:space="preserve"> 3.1. </w:t>
      </w:r>
      <w:r>
        <w:rPr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https://vos-mo.ru.</w:t>
      </w:r>
    </w:p>
    <w:p w:rsidR="00A602A1" w:rsidRDefault="00857D13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A602A1" w:rsidRDefault="00857D1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602A1" w:rsidRDefault="00857D1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A602A1" w:rsidRDefault="00857D1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602A1" w:rsidRDefault="00857D13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A602A1" w:rsidRDefault="00A602A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2"/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6462874"/>
      <w:bookmarkStart w:id="65" w:name="_Toc419295277"/>
      <w:bookmarkStart w:id="66" w:name="_Toc428969609"/>
      <w:bookmarkStart w:id="67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A602A1" w:rsidRDefault="00A602A1">
      <w:pPr>
        <w:spacing w:line="276" w:lineRule="auto"/>
        <w:jc w:val="both"/>
        <w:rPr>
          <w:sz w:val="22"/>
          <w:szCs w:val="22"/>
        </w:rPr>
      </w:pPr>
    </w:p>
    <w:p w:rsidR="00A602A1" w:rsidRDefault="00857D13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A602A1" w:rsidRDefault="00857D13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A602A1" w:rsidRDefault="00857D13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A602A1" w:rsidRDefault="00A602A1">
      <w:pPr>
        <w:spacing w:line="276" w:lineRule="auto"/>
        <w:ind w:firstLine="426"/>
        <w:rPr>
          <w:sz w:val="22"/>
          <w:szCs w:val="22"/>
        </w:rPr>
      </w:pPr>
    </w:p>
    <w:p w:rsidR="00A602A1" w:rsidRDefault="00857D13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A602A1" w:rsidRDefault="00857D13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602A1" w:rsidRDefault="00857D1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602A1" w:rsidRDefault="00857D1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602A1" w:rsidRDefault="00857D1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602A1" w:rsidRDefault="00857D1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602A1" w:rsidRDefault="00A602A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602A1" w:rsidRDefault="00857D13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A602A1" w:rsidRDefault="00A602A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602A1" w:rsidRDefault="00A602A1">
      <w:pPr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602A1" w:rsidRDefault="00857D1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602A1" w:rsidRDefault="00857D1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602A1" w:rsidRDefault="00857D13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602A1" w:rsidRDefault="00857D13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602A1" w:rsidRDefault="00857D13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602A1" w:rsidRDefault="00A602A1">
      <w:pPr>
        <w:spacing w:line="276" w:lineRule="auto"/>
        <w:jc w:val="both"/>
        <w:rPr>
          <w:b/>
          <w:bCs/>
          <w:sz w:val="22"/>
          <w:szCs w:val="22"/>
        </w:rPr>
      </w:pPr>
    </w:p>
    <w:p w:rsidR="00A602A1" w:rsidRDefault="00857D1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602A1" w:rsidRDefault="00857D1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602A1" w:rsidRDefault="00A602A1">
      <w:pPr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A602A1" w:rsidRDefault="00857D13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A602A1" w:rsidRDefault="00857D13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602A1" w:rsidRDefault="00857D1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602A1" w:rsidRDefault="00857D1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A602A1" w:rsidRDefault="00A602A1">
      <w:pPr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28969612"/>
      <w:bookmarkStart w:id="71" w:name="_Toc423619380"/>
      <w:bookmarkStart w:id="72" w:name="_Toc42646287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A602A1" w:rsidRDefault="00A602A1">
      <w:pPr>
        <w:spacing w:line="276" w:lineRule="auto"/>
        <w:jc w:val="center"/>
        <w:rPr>
          <w:b/>
          <w:sz w:val="4"/>
          <w:szCs w:val="4"/>
        </w:rPr>
      </w:pP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602A1" w:rsidRDefault="00A602A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602A1" w:rsidRDefault="00A602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19295282"/>
      <w:bookmarkStart w:id="74" w:name="_Toc423619386"/>
      <w:bookmarkStart w:id="75" w:name="_Toc428969615"/>
      <w:bookmarkStart w:id="76" w:name="_Toc426462880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A602A1" w:rsidRDefault="00A602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602A1" w:rsidRDefault="00857D1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9992738"/>
      <w:bookmarkStart w:id="79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602A1" w:rsidRDefault="00857D1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602A1" w:rsidRDefault="00A602A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A602A1" w:rsidRDefault="00A602A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602A1" w:rsidRDefault="00857D1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A602A1" w:rsidRDefault="00857D1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602A1" w:rsidRDefault="00857D1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A602A1" w:rsidRDefault="00857D1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/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/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A602A1" w:rsidRDefault="00857D13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A602A1" w:rsidRDefault="00857D1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602A1" w:rsidRDefault="00857D1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A602A1" w:rsidRDefault="00857D1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/>
        <w:t>всех Заявителей;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A602A1" w:rsidRDefault="00A602A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602A1" w:rsidRDefault="00857D1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Ref368517744"/>
      <w:bookmarkEnd w:id="78"/>
      <w:bookmarkEnd w:id="79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/>
        <w:t>либо Протокола о результатах аукциона на Официальном сайте торгов.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A602A1" w:rsidRDefault="00857D1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602A1" w:rsidRDefault="00857D1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602A1" w:rsidRDefault="00857D1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602A1" w:rsidRDefault="00A602A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8"/>
    <w:bookmarkEnd w:id="81"/>
    <w:p w:rsidR="00A602A1" w:rsidRDefault="00857D13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A602A1" w:rsidRDefault="00A602A1">
      <w:pPr>
        <w:rPr>
          <w:lang w:val="zh-CN"/>
        </w:rPr>
      </w:pPr>
    </w:p>
    <w:p w:rsidR="00A602A1" w:rsidRDefault="00857D1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602A1" w:rsidRDefault="00857D13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A602A1" w:rsidRDefault="00857D13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A602A1" w:rsidRDefault="00A602A1">
      <w:pPr>
        <w:jc w:val="center"/>
        <w:rPr>
          <w:sz w:val="20"/>
          <w:szCs w:val="20"/>
        </w:rPr>
      </w:pP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A602A1" w:rsidRDefault="00857D1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02A1" w:rsidRDefault="00857D1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02A1" w:rsidRDefault="00857D13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A602A1" w:rsidRDefault="00857D1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602A1" w:rsidRDefault="00857D13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602A1" w:rsidRDefault="00857D1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A602A1" w:rsidRDefault="00857D1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A602A1" w:rsidRDefault="00857D13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A602A1" w:rsidRDefault="00857D13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2A1" w:rsidRDefault="00A602A1">
      <w:pPr>
        <w:jc w:val="center"/>
        <w:rPr>
          <w:sz w:val="28"/>
          <w:szCs w:val="28"/>
        </w:rPr>
      </w:pPr>
    </w:p>
    <w:p w:rsidR="00A602A1" w:rsidRDefault="00A602A1">
      <w:pPr>
        <w:rPr>
          <w:sz w:val="28"/>
          <w:szCs w:val="28"/>
        </w:rPr>
      </w:pPr>
    </w:p>
    <w:p w:rsidR="00A602A1" w:rsidRDefault="00857D1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A602A1" w:rsidRDefault="00857D1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A602A1" w:rsidRDefault="00857D1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A602A1" w:rsidRDefault="00857D1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A602A1" w:rsidRDefault="00857D13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3" w:name="_Toc423082997"/>
    </w:p>
    <w:bookmarkEnd w:id="83"/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A602A1" w:rsidRDefault="00A602A1">
      <w:pPr>
        <w:rPr>
          <w:b/>
          <w:sz w:val="2"/>
          <w:szCs w:val="10"/>
        </w:rPr>
      </w:pPr>
    </w:p>
    <w:p w:rsidR="00A602A1" w:rsidRDefault="00857D1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602A1" w:rsidRDefault="00857D13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602A1" w:rsidRDefault="00857D1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602A1" w:rsidRDefault="00857D13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602A1" w:rsidRDefault="00857D13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602A1" w:rsidRDefault="00857D13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A602A1" w:rsidRDefault="00857D13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A602A1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602A1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602A1" w:rsidRDefault="00857D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602A1" w:rsidRDefault="0085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602A1" w:rsidRDefault="00857D13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602A1" w:rsidRDefault="00A602A1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602A1" w:rsidRDefault="00857D1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A602A1" w:rsidRDefault="00857D1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A602A1" w:rsidRDefault="00857D1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A602A1" w:rsidRDefault="00857D1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602A1" w:rsidRDefault="00857D1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602A1" w:rsidRDefault="00857D1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602A1" w:rsidRDefault="00857D1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602A1" w:rsidRDefault="00857D1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602A1" w:rsidRDefault="00857D1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602A1" w:rsidRDefault="00857D1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602A1" w:rsidRDefault="00857D1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A602A1" w:rsidRDefault="00857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A602A1" w:rsidRDefault="00857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602A1" w:rsidRDefault="00857D1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602A1" w:rsidRDefault="00A602A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602A1" w:rsidRDefault="00A602A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602A1" w:rsidRDefault="00A602A1">
      <w:pPr>
        <w:rPr>
          <w:b/>
          <w:sz w:val="22"/>
          <w:szCs w:val="22"/>
        </w:rPr>
      </w:pPr>
    </w:p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602A1" w:rsidRDefault="00A602A1">
      <w:pPr>
        <w:suppressAutoHyphens w:val="0"/>
        <w:jc w:val="center"/>
        <w:rPr>
          <w:b/>
          <w:sz w:val="22"/>
          <w:szCs w:val="22"/>
        </w:rPr>
      </w:pPr>
    </w:p>
    <w:p w:rsidR="00A602A1" w:rsidRDefault="00857D13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602A1" w:rsidRDefault="00A602A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A602A1" w:rsidRDefault="00A602A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602A1" w:rsidRDefault="00A602A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602A1" w:rsidRDefault="00857D1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602A1" w:rsidRDefault="00A602A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A602A1" w:rsidRDefault="00A60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602A1">
        <w:tc>
          <w:tcPr>
            <w:tcW w:w="3261" w:type="dxa"/>
          </w:tcPr>
          <w:p w:rsidR="00A602A1" w:rsidRDefault="00857D13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602A1" w:rsidRDefault="00857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602A1" w:rsidRDefault="00857D13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602A1">
        <w:trPr>
          <w:trHeight w:val="250"/>
        </w:trPr>
        <w:tc>
          <w:tcPr>
            <w:tcW w:w="3261" w:type="dxa"/>
          </w:tcPr>
          <w:p w:rsidR="00A602A1" w:rsidRDefault="00A602A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602A1" w:rsidRDefault="00A602A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602A1" w:rsidRDefault="00A602A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02A1" w:rsidRDefault="00A602A1">
      <w:pPr>
        <w:jc w:val="center"/>
        <w:rPr>
          <w:b/>
          <w:sz w:val="22"/>
          <w:szCs w:val="22"/>
        </w:rPr>
      </w:pPr>
    </w:p>
    <w:p w:rsidR="00A602A1" w:rsidRDefault="00857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602A1" w:rsidRDefault="00A602A1">
      <w:pPr>
        <w:jc w:val="center"/>
        <w:rPr>
          <w:b/>
          <w:sz w:val="22"/>
          <w:szCs w:val="22"/>
        </w:rPr>
      </w:pPr>
    </w:p>
    <w:p w:rsidR="00A602A1" w:rsidRDefault="00A602A1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602A1">
        <w:trPr>
          <w:trHeight w:val="738"/>
        </w:trPr>
        <w:tc>
          <w:tcPr>
            <w:tcW w:w="3049" w:type="dxa"/>
          </w:tcPr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602A1" w:rsidRDefault="00A602A1">
            <w:pPr>
              <w:rPr>
                <w:sz w:val="22"/>
                <w:szCs w:val="22"/>
              </w:rPr>
            </w:pPr>
          </w:p>
        </w:tc>
      </w:tr>
      <w:tr w:rsidR="00A602A1">
        <w:trPr>
          <w:trHeight w:val="738"/>
        </w:trPr>
        <w:tc>
          <w:tcPr>
            <w:tcW w:w="3049" w:type="dxa"/>
          </w:tcPr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602A1" w:rsidRDefault="00A60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602A1" w:rsidRDefault="00A60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602A1" w:rsidRDefault="00857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4D2A21" w:rsidRDefault="004D2A21"/>
    <w:sectPr w:rsidR="004D2A21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77" w:rsidRDefault="003B1F77">
      <w:r>
        <w:separator/>
      </w:r>
    </w:p>
  </w:endnote>
  <w:endnote w:type="continuationSeparator" w:id="0">
    <w:p w:rsidR="003B1F77" w:rsidRDefault="003B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602A1" w:rsidRDefault="00857D13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E1" w:rsidRPr="00037FE1">
          <w:rPr>
            <w:noProof/>
            <w:lang w:val="ru-RU"/>
          </w:rPr>
          <w:t>2</w:t>
        </w:r>
        <w:r>
          <w:fldChar w:fldCharType="end"/>
        </w:r>
      </w:p>
    </w:sdtContent>
  </w:sdt>
  <w:p w:rsidR="00A602A1" w:rsidRDefault="00A602A1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77" w:rsidRDefault="003B1F77">
      <w:r>
        <w:separator/>
      </w:r>
    </w:p>
  </w:footnote>
  <w:footnote w:type="continuationSeparator" w:id="0">
    <w:p w:rsidR="003B1F77" w:rsidRDefault="003B1F77">
      <w:r>
        <w:continuationSeparator/>
      </w:r>
    </w:p>
  </w:footnote>
  <w:footnote w:id="1">
    <w:p w:rsidR="00A602A1" w:rsidRDefault="00857D13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A602A1" w:rsidRDefault="00A602A1">
      <w:pPr>
        <w:pStyle w:val="af5"/>
        <w:rPr>
          <w:lang w:val="ru-RU"/>
        </w:rPr>
      </w:pPr>
    </w:p>
  </w:footnote>
  <w:footnote w:id="2">
    <w:p w:rsidR="00A602A1" w:rsidRDefault="00857D1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A602A1" w:rsidRDefault="00857D1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A602A1" w:rsidRDefault="00857D1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A602A1" w:rsidRDefault="00857D1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602A1" w:rsidRDefault="00857D13">
      <w:pPr>
        <w:pStyle w:val="af5"/>
        <w:jc w:val="both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37FE1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77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2A21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D13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2A1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4506DE8-0051-4D60-B54A-9D663F75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98E39-8305-4D59-973C-105BADBF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6162</Words>
  <Characters>35128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2026-07-16T12:54:00Z</dcterms:created>
  <dcterms:modified xsi:type="dcterms:W3CDTF">2026-07-16T12:54:00Z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